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w:t>
      </w:r>
      <w:r>
        <w:t xml:space="preserve"> </w:t>
      </w:r>
      <w:r>
        <w:t xml:space="preserve">(Frisch 1967; Seeley 1995)</w:t>
      </w:r>
      <w:r>
        <w:t xml:space="preserve">. Despite having been described as the most astounding example of non-primate communication</w:t>
      </w:r>
      <w:r>
        <w:t xml:space="preserve"> </w:t>
      </w:r>
      <w:r>
        <w:t xml:space="preserve">(Frisch 1967)</w:t>
      </w:r>
      <w:r>
        <w:t xml:space="preserve">, recent evidence suggests that the benefits of using dance information vary across environments and are sometimes even negligible</w:t>
      </w:r>
      <w:r>
        <w:t xml:space="preserve"> </w:t>
      </w:r>
      <w:r>
        <w:t xml:space="preserve">(Dornhaus et al. 2006; Price et al. 2019)</w:t>
      </w:r>
      <w:r>
        <w:t xml:space="preserve">. Yet, because we cannot easily quantify collective foraging, pinpointing which environments promote collective foraging is challenging. Here, we present a mathematical model which quantifies collective foraging by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(Figure of dance waggle dance)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using the dance does not always provide a foraging advantage and suggests bees may ignore spatial information in dances in favour of independent foraging. The prevalent explanation for this apparent redundancy portrays dance-based collective foraging as an evolutionary anachronism that was useful in ancient tropical environments but offers little benefit in modern temperate environments</w:t>
      </w:r>
      <w:r>
        <w:t xml:space="preserve"> </w:t>
      </w:r>
      <w:r>
        <w:t xml:space="preserve">(Dornhaus and Chittka 2004; Donaldson-Matasci and Dornhaus 2012; Price and Grüter 2015)</w:t>
      </w:r>
      <w:r>
        <w:t xml:space="preserve">.</w:t>
      </w:r>
    </w:p>
    <w:p>
      <w:pPr>
        <w:pStyle w:val="BodyText"/>
      </w:pPr>
      <w:r>
        <w:t xml:space="preserve">Given that dancing comes at a significant time cost</w:t>
      </w:r>
      <w:r>
        <w:t xml:space="preserve"> </w:t>
      </w:r>
      <w:r>
        <w:t xml:space="preserve">(Seeley and Visscher 1988)</w:t>
      </w:r>
      <w:r>
        <w:t xml:space="preserve">,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w:t>
      </w:r>
      <w:r>
        <w:t xml:space="preserve"> </w:t>
      </w:r>
      <w:r>
        <w:t xml:space="preserve">(Sherman and Visscher 2002; Dornhaus and Chittka 2004; Dornhaus et al. 2006)</w:t>
      </w:r>
      <w:r>
        <w:t xml:space="preserve">, suggesting that bees cease to rely on dance information if it provides little benefit</w:t>
      </w:r>
      <w:r>
        <w:t xml:space="preserve"> </w:t>
      </w:r>
      <w:r>
        <w:t xml:space="preserve">(Price et al. 2019)</w:t>
      </w:r>
      <w:r>
        <w:t xml:space="preserve">. Identifying those environments whereby modern honeybee colonies forage collectively rather than through individual search is a key step towards understanding dance evolution</w:t>
      </w:r>
      <w:r>
        <w:t xml:space="preserve"> </w:t>
      </w:r>
      <w:r>
        <w:t xml:space="preserve">(Price and Grüter 2015)</w:t>
      </w:r>
      <w:r>
        <w:t xml:space="preserve">.</w:t>
      </w:r>
    </w:p>
    <w:p>
      <w:pPr>
        <w:pStyle w:val="BodyText"/>
      </w:pPr>
      <w:r>
        <w:rPr>
          <w:b/>
        </w:rPr>
        <w:t xml:space="preserve">Box 1</w:t>
      </w:r>
    </w:p>
    <w:p>
      <w:pPr>
        <w:pStyle w:val="BodyText"/>
      </w:pPr>
      <w:r>
        <w:t xml:space="preserve">[figure of waggle dance, maybe have text in like a box or something? Or just the text]</w:t>
      </w:r>
    </w:p>
    <w:p>
      <w:pPr>
        <w:pStyle w:val="BodyText"/>
      </w:pPr>
      <w:r>
        <w:t xml:space="preserve">Honeybees provide an ideal study system in which to evaluate collective foraging thanks to the famous</w:t>
      </w:r>
      <w:r>
        <w:t xml:space="preserve"> </w:t>
      </w:r>
      <w:r>
        <w:t xml:space="preserve">“</w:t>
      </w:r>
      <w:r>
        <w:t xml:space="preserve">waggle dance</w:t>
      </w:r>
      <w:r>
        <w:t xml:space="preserve">”</w:t>
      </w:r>
      <w:r>
        <w:t xml:space="preserve">, which conveys information about location of a resource as a vector of distance (duration of the waggle run) and direction (angle of the dance relative to the sun)</w:t>
      </w:r>
      <w:r>
        <w:t xml:space="preserve"> </w:t>
      </w:r>
      <w:r>
        <w:t xml:space="preserve">(Frisch 1967)</w:t>
      </w:r>
      <w:r>
        <w:t xml:space="preserve">.Through the observation and decoding of the waggle dance, a colony’s dance floor provides a unique opportunity to eavesdrop on the communication and decision making leading to collective foraging decisions. Resource</w:t>
      </w:r>
      <w:r>
        <w:t xml:space="preserve"> </w:t>
      </w:r>
      <w:r>
        <w:t xml:space="preserve">“</w:t>
      </w:r>
      <w:r>
        <w:t xml:space="preserve">quality</w:t>
      </w:r>
      <w:r>
        <w:t xml:space="preserve">”</w:t>
      </w:r>
      <w:r>
        <w:t xml:space="preserve"> </w:t>
      </w:r>
      <w:r>
        <w:t xml:space="preserve">is provided through the number of waggle runs performed</w:t>
      </w:r>
      <w:r>
        <w:t xml:space="preserve"> </w:t>
      </w:r>
      <w:r>
        <w:t xml:space="preserve">(Frisch 1967; Boch 1956; Esch 1961; Thomas D. Seeley and Tovey 1994; Seeley, Mikheyev, and Pagano 2000)</w:t>
      </w:r>
      <w:r>
        <w:t xml:space="preserve">). Although bees that follow dances do not specifically interpret this information on an individual level</w:t>
      </w:r>
      <w:r>
        <w:t xml:space="preserve"> </w:t>
      </w:r>
      <w:r>
        <w:t xml:space="preserve">(Seeley, Camazine, and Sneyd 1991)</w:t>
      </w:r>
      <w:r>
        <w:t xml:space="preserve">, the resulting over-representation of high-quality sites on the dance-floor means that they are more likely to encounter dances that advertise better forage</w:t>
      </w:r>
      <w:r>
        <w:t xml:space="preserve"> </w:t>
      </w:r>
      <w:r>
        <w:t xml:space="preserve">(Seeley 1995)</w:t>
      </w:r>
      <w:r>
        <w:t xml:space="preserve">, and provides the colony with a mechanism to select the most profitable resources in their environment</w:t>
      </w:r>
      <w:r>
        <w:t xml:space="preserve"> </w:t>
      </w:r>
      <w:r>
        <w:t xml:space="preserve">(Thomas D. Seeley 1994)</w:t>
      </w:r>
      <w:r>
        <w:t xml:space="preserve">.</w:t>
      </w:r>
    </w:p>
    <w:p>
      <w:pPr>
        <w:pStyle w:val="BodyText"/>
      </w:pPr>
      <w:r>
        <w:rPr>
          <w:b/>
        </w:rPr>
        <w:t xml:space="preserve">End Box 1</w:t>
      </w:r>
    </w:p>
    <w:p>
      <w:pPr>
        <w:pStyle w:val="BodyText"/>
      </w:pPr>
      <w:r>
        <w:t xml:space="preserve">Overall, evidence that colony-level collective foraging offers any benefit over individual search has proved surprisingly hard to come by. Whilst it is entirely possible the dance no longer provides a benefit in the modern world, a key barrier to assessing waggle dance use is that this requires distinguishing between foraging trips made by</w:t>
      </w:r>
      <w:r>
        <w:t xml:space="preserve"> </w:t>
      </w:r>
      <w:r>
        <w:t xml:space="preserve">scouting and recruited individuals. Scout foraging trips occur when a food source is located through individual search behaviour, whilst recruit foraging trips occur when a forage site is found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So far, scouts and recruits are distinguished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1967)</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how the patterns of waggle dance encoded foraging distances might differ under a scout and recruit foraging strategy,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Scouting foragers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(Thomas D. 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all but one of these cases, the collective model had a good fit (using a Kolmogorov-Smirnov statistic, see methods) to the empirical waggle run durations, whereas for 9 of these sites, the distribution predicted by the scout model was significantly different to the observed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is mostly comprised of a mixture of scout and recruit foraging trips, in some circumstances, colony foraging can be better described by individual foraging alone. This suggests that in some environments honey bees engage in scouting to find new food sites rather than follow dances.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Our finding that foraging in some landscapes is more accurately described by scouting supports the hypothesis that the dance is used flexibly in response to environmental factors. As the collective model quantifies the contribution of recruitment to colony foraging, the fit of our model provides a new tool to evaluate how environmental factors influence waggle dance use, and thus how a colony uses waggle dance information under different environmental circumstances.</w:t>
      </w:r>
    </w:p>
    <w:p>
      <w:pPr>
        <w:pStyle w:val="BodyText"/>
      </w:pPr>
      <w:r>
        <w:t xml:space="preserve">We estimated the proportion of scout and recruit foraging trips for each individual colony and investigated whether these estimates might correlate with land-use.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as many land-use types present in urban areas do not occur in agri-rural environments and vice versa (see methods). As many of the resulting land-use types covaried with each other, we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 within agri-rural and urban environments. As we have a small sample size, this analysis was jackknifed to evaluate the robustness of our results to influential points (see methods, supplementary material section</w:t>
      </w:r>
      <w:r>
        <w:t xml:space="preserve"> </w:t>
      </w:r>
      <w:r>
        <w:rPr>
          <w:i/>
        </w:rPr>
        <w:t xml:space="preserve">.</w:t>
      </w:r>
      <w:r>
        <w:t xml:space="preserve">)</w:t>
      </w:r>
    </w:p>
    <w:p>
      <w:pPr>
        <w:pStyle w:val="BodyText"/>
      </w:pPr>
      <w:r>
        <w:t xml:space="preserve">In the agri-rural environment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and negatively with non-agricultural unmanaged green space, built-up areas and water (Fig. 4. B). These land-use types maintain a significant correlation with PC1 over the jackknifed PLS (Fig. 4. B) indicating the results are robust. As arable land increases whilst unmanaged green space and built-up areas decrease, the proportion of individuals prioritising private information increases. Arable land dominates the agri-rural environment accounting for over 28% of land-coverage, whilst built-up areas represent around 17% of lands (Table 1). Non-agricultural unmanaged green space represent smaller amounts of land, accounting for less than 3% of the total land combined (Table 1).</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21.70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20.00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16.80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Oilseed Rape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2.75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1.52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w:t>
            </w:r>
          </w:p>
        </w:tc>
      </w:tr>
    </w:tbl>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is also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whilst correlating negatively with sparse residential lands and railways (Fig. 5. B). However, the jackknifed PLS identifies CAD as a highly influential site, the removal of which causes sparse residential land to have a positive correlation with PC1 (Supplementary Material</w:t>
      </w:r>
      <w:r>
        <w:t xml:space="preserve"> </w:t>
      </w:r>
      <w:r>
        <w:rPr>
          <w:i/>
        </w:rPr>
        <w:t xml:space="preserve">.</w:t>
      </w:r>
      <w:r>
        <w:t xml:space="preserve">). Visualising how waggle dance use is influenced by changes in these land-use types shows that when the landscape is dominated by sparse residential land, as in site HHS, waggle dance use dominates the colonies foraging strategy. However, this reduces as sparse residential land is replaced by parks, allotments, and cemeteries (Fig. 5). Sparse residential land dominates the urban environment accounting for over 34% of land-coverage, whilst parks allotments and cemeteries and railway corresponds to ~8% and ~1 respectively (Table 2).</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34.80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24.30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7.88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4.22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3.36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1.04</w:t>
            </w:r>
          </w:p>
        </w:tc>
      </w:tr>
    </w:tbl>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w:t>
      </w:r>
      <w:r>
        <w:t xml:space="preserve"> </w:t>
      </w:r>
      <w:r>
        <w:t xml:space="preserve">(Samuelson, Schürch, and Leadbeater 2021)</w:t>
      </w:r>
      <w:r>
        <w:t xml:space="preserve">. On the contrary, built up areas often have gardens with ample flowers available for pollinators</w:t>
      </w:r>
      <w:r>
        <w:t xml:space="preserve"> </w:t>
      </w:r>
      <w:r>
        <w:t xml:space="preserve">(Baldock et al. 2019)</w:t>
      </w:r>
      <w:r>
        <w:t xml:space="preserve">. Although non-agricultural unmanaged green space and water show as significantly correlating with reduced use of the dance, as they cover such a small amount of area, combined with a small sample size of only 10 sites, we cannot ignore the possibility that their significance is a random effect rather than evidence of a biological mechanism. Overall, these findings indicate that in agri-rural environments, when resources are more abundant and thus easier to find, the waggle dance is used more, presumably to identify the best resources of those on offer. Conversely, where resources are sparse and more difficult to find, a decreased use of the waggle dance suggests the colony focuses more on individual exploration rather than in trying to locate the best resources.</w:t>
      </w:r>
    </w:p>
    <w:p>
      <w:pPr>
        <w:pStyle w:val="BodyText"/>
      </w:pPr>
      <w:r>
        <w:t xml:space="preserve">A similar result is observed in urban sites, where the presence of flower rich gardens in residential areas appears to promote increased use of the dance. Conversely, an increase in the amount of parks, allotments and cemeteries appears to decrease the use of the dance. Such land-use types could be expected to be quite resource rich for pollinators yet our findings suggests honey bee colonies decrease the use of the dance in such environments. It is possible that such environments vary seasonally in terms of their forage availability, allowing them to function both as floral deserts and oasis at different times of the year. As our waggle dance observations were collected over the course of an entire season, we may only be picking up the dominant signal over this time frame. However, the jackknife analysis shows our results are highly sensitive to influential points. Further data is therefore needed to investigate how the urban environment influences waggle dance use in honey bees.</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within the agri-rural sites are in broad agreement with other studies which evaluated foraging performance with and without the dance [</w:t>
      </w:r>
      <w:r>
        <w:t xml:space="preserve">Dornhaus et al. (2006)</w:t>
      </w:r>
      <w:r>
        <w:t xml:space="preserve">; Price2019].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More waggle dance data from urban colonies is therefore required to further probe how honeybees use the waggle dance in this heavily anthropogenic environment.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90"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32">
        <w:r>
          <w:rPr>
            <w:rStyle w:val="Hyperlink"/>
          </w:rPr>
          <w:t xml:space="preserve">https://doi.org/10.1007/BF00338624</w:t>
        </w:r>
      </w:hyperlink>
      <w:r>
        <w:t xml:space="preserve">.</w:t>
      </w:r>
    </w:p>
    <w:bookmarkEnd w:id="33"/>
    <w:bookmarkStart w:id="35"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4">
        <w:r>
          <w:rPr>
            <w:rStyle w:val="Hyperlink"/>
          </w:rPr>
          <w:t xml:space="preserve">https://doi.org/10.1007/b97636</w:t>
        </w:r>
      </w:hyperlink>
      <w:r>
        <w:t xml:space="preserve">.</w:t>
      </w:r>
    </w:p>
    <w:bookmarkEnd w:id="35"/>
    <w:bookmarkStart w:id="37"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6">
        <w:r>
          <w:rPr>
            <w:rStyle w:val="Hyperlink"/>
          </w:rPr>
          <w:t xml:space="preserve">https://doi.org/10.1111/J.1600-0706.2008.16881.X</w:t>
        </w:r>
      </w:hyperlink>
      <w:r>
        <w:t xml:space="preserve">.</w:t>
      </w:r>
    </w:p>
    <w:bookmarkEnd w:id="37"/>
    <w:bookmarkStart w:id="3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8">
        <w:r>
          <w:rPr>
            <w:rStyle w:val="Hyperlink"/>
          </w:rPr>
          <w:t xml:space="preserve">https://doi.org/10.1242/BIO.20121099</w:t>
        </w:r>
      </w:hyperlink>
      <w:r>
        <w:t xml:space="preserve">.</w:t>
      </w:r>
    </w:p>
    <w:bookmarkEnd w:id="39"/>
    <w:bookmarkStart w:id="41" w:name="ref-Donaldson-Matasci2012"/>
    <w:p>
      <w:pPr>
        <w:pStyle w:val="Bibliography"/>
      </w:pPr>
      <w:r>
        <w:t xml:space="preserve">Donaldson-Matasci, Matina C., and Anna Dornhaus. 2012. “How habitat affects the benefits of communication in collectively foraging honey bees.”</w:t>
      </w:r>
      <w:r>
        <w:t xml:space="preserve"> </w:t>
      </w:r>
      <w:r>
        <w:rPr>
          <w:i/>
        </w:rPr>
        <w:t xml:space="preserve">Behavioral Ecology and Sociobiology</w:t>
      </w:r>
      <w:r>
        <w:t xml:space="preserve"> </w:t>
      </w:r>
      <w:r>
        <w:t xml:space="preserve">66 (4): 583–92.</w:t>
      </w:r>
      <w:r>
        <w:t xml:space="preserve"> </w:t>
      </w:r>
      <w:hyperlink r:id="rId40">
        <w:r>
          <w:rPr>
            <w:rStyle w:val="Hyperlink"/>
          </w:rPr>
          <w:t xml:space="preserve">https://doi.org/10.1007/s00265-011-1306-z</w:t>
        </w:r>
      </w:hyperlink>
      <w:r>
        <w:t xml:space="preserve">.</w:t>
      </w:r>
    </w:p>
    <w:bookmarkEnd w:id="41"/>
    <w:bookmarkStart w:id="43"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42">
        <w:r>
          <w:rPr>
            <w:rStyle w:val="Hyperlink"/>
          </w:rPr>
          <w:t xml:space="preserve">https://doi.org/10.1007/s00265-003-0726-9</w:t>
        </w:r>
      </w:hyperlink>
      <w:r>
        <w:t xml:space="preserve">.</w:t>
      </w:r>
    </w:p>
    <w:bookmarkEnd w:id="43"/>
    <w:bookmarkStart w:id="45"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4">
        <w:r>
          <w:rPr>
            <w:rStyle w:val="Hyperlink"/>
          </w:rPr>
          <w:t xml:space="preserve">https://doi.org/10.1093/beheco/arj036</w:t>
        </w:r>
      </w:hyperlink>
      <w:r>
        <w:t xml:space="preserve">.</w:t>
      </w:r>
    </w:p>
    <w:bookmarkEnd w:id="45"/>
    <w:bookmarkStart w:id="47"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46">
        <w:r>
          <w:rPr>
            <w:rStyle w:val="Hyperlink"/>
          </w:rPr>
          <w:t xml:space="preserve">https://doi.org/10.1007/BF00297754</w:t>
        </w:r>
      </w:hyperlink>
      <w:r>
        <w:t xml:space="preserve">.</w:t>
      </w:r>
    </w:p>
    <w:bookmarkEnd w:id="47"/>
    <w:bookmarkStart w:id="49" w:name="ref-Frisch1993"/>
    <w:p>
      <w:pPr>
        <w:pStyle w:val="Bibliography"/>
      </w:pPr>
      <w:r>
        <w:t xml:space="preserve">Frisch, Karl von. 1967.</w:t>
      </w:r>
      <w:r>
        <w:t xml:space="preserve"> </w:t>
      </w:r>
      <w:r>
        <w:rPr>
          <w:i/>
        </w:rPr>
        <w:t xml:space="preserve">The Dance Language and Orientation of Bees</w:t>
      </w:r>
      <w:r>
        <w:t xml:space="preserve">. Harvard University Press.</w:t>
      </w:r>
      <w:r>
        <w:t xml:space="preserve"> </w:t>
      </w:r>
      <w:hyperlink r:id="rId48">
        <w:r>
          <w:rPr>
            <w:rStyle w:val="Hyperlink"/>
          </w:rPr>
          <w:t xml:space="preserve">https://doi.org/10.4159/harvard.9780674418776</w:t>
        </w:r>
      </w:hyperlink>
      <w:r>
        <w:t xml:space="preserve">.</w:t>
      </w:r>
    </w:p>
    <w:bookmarkEnd w:id="49"/>
    <w:bookmarkStart w:id="51"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50">
        <w:r>
          <w:rPr>
            <w:rStyle w:val="Hyperlink"/>
          </w:rPr>
          <w:t xml:space="preserve">https://doi.org/10.1140/EPJB/E2004-00316-5</w:t>
        </w:r>
      </w:hyperlink>
      <w:r>
        <w:t xml:space="preserve">.</w:t>
      </w:r>
    </w:p>
    <w:bookmarkEnd w:id="51"/>
    <w:bookmarkStart w:id="53"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52">
        <w:r>
          <w:rPr>
            <w:rStyle w:val="Hyperlink"/>
          </w:rPr>
          <w:t xml:space="preserve">https://doi.org/10.1016/j.anbehav.2011.01.014</w:t>
        </w:r>
      </w:hyperlink>
      <w:r>
        <w:t xml:space="preserve">.</w:t>
      </w:r>
    </w:p>
    <w:bookmarkEnd w:id="53"/>
    <w:bookmarkStart w:id="55"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4">
        <w:r>
          <w:rPr>
            <w:rStyle w:val="Hyperlink"/>
          </w:rPr>
          <w:t xml:space="preserve">https://doi.org/10.1016/j.anbehav.2013.03.041</w:t>
        </w:r>
      </w:hyperlink>
      <w:r>
        <w:t xml:space="preserve">.</w:t>
      </w:r>
    </w:p>
    <w:bookmarkEnd w:id="55"/>
    <w:bookmarkStart w:id="57" w:name="ref-Hasenjager2022"/>
    <w:p>
      <w:pPr>
        <w:pStyle w:val="Bibliography"/>
      </w:pPr>
      <w:r>
        <w:t xml:space="preserve">Hasenjager, Matthew J., William Hoppitt, and Ellouise Leadbeater.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6">
        <w:r>
          <w:rPr>
            <w:rStyle w:val="Hyperlink"/>
          </w:rPr>
          <w:t xml:space="preserve">https://doi.org/10.1016/j.anbehav.2021.12.010</w:t>
        </w:r>
      </w:hyperlink>
      <w:r>
        <w:t xml:space="preserve">.</w:t>
      </w:r>
    </w:p>
    <w:bookmarkEnd w:id="57"/>
    <w:bookmarkStart w:id="59"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58">
        <w:r>
          <w:rPr>
            <w:rStyle w:val="Hyperlink"/>
          </w:rPr>
          <w:t xml:space="preserve">https://doi.org/10.1126/sciadv.aat0450</w:t>
        </w:r>
      </w:hyperlink>
      <w:r>
        <w:t xml:space="preserve">.</w:t>
      </w:r>
    </w:p>
    <w:bookmarkEnd w:id="59"/>
    <w:bookmarkStart w:id="61"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60">
        <w:r>
          <w:rPr>
            <w:rStyle w:val="Hyperlink"/>
          </w:rPr>
          <w:t xml:space="preserve">https://doi.org/10.3389/FEVO.2015.00125/BIBTEX</w:t>
        </w:r>
      </w:hyperlink>
      <w:r>
        <w:t xml:space="preserve">.</w:t>
      </w:r>
    </w:p>
    <w:bookmarkEnd w:id="61"/>
    <w:bookmarkStart w:id="63"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2">
        <w:r>
          <w:rPr>
            <w:rStyle w:val="Hyperlink"/>
          </w:rPr>
          <w:t xml:space="preserve">https://doi.org/10.1007/BF00348054</w:t>
        </w:r>
      </w:hyperlink>
      <w:r>
        <w:t xml:space="preserve">.</w:t>
      </w:r>
    </w:p>
    <w:bookmarkEnd w:id="63"/>
    <w:bookmarkStart w:id="65"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4">
        <w:r>
          <w:rPr>
            <w:rStyle w:val="Hyperlink"/>
          </w:rPr>
          <w:t xml:space="preserve">https://doi.org/10.1111/1365-2664.14011</w:t>
        </w:r>
      </w:hyperlink>
      <w:r>
        <w:t xml:space="preserve">.</w:t>
      </w:r>
    </w:p>
    <w:bookmarkEnd w:id="65"/>
    <w:bookmarkStart w:id="67"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66">
        <w:r>
          <w:rPr>
            <w:rStyle w:val="Hyperlink"/>
          </w:rPr>
          <w:t xml:space="preserve">https://doi.org/10.1016/j.anbehav.2019.01.016</w:t>
        </w:r>
      </w:hyperlink>
      <w:r>
        <w:t xml:space="preserve">.</w:t>
      </w:r>
    </w:p>
    <w:bookmarkEnd w:id="67"/>
    <w:bookmarkStart w:id="69" w:name="ref-Seeley1995"/>
    <w:p>
      <w:pPr>
        <w:pStyle w:val="Bibliography"/>
      </w:pPr>
      <w:r>
        <w:t xml:space="preserve">Seeley, TD. 1995.</w:t>
      </w:r>
      <w:r>
        <w:t xml:space="preserve"> </w:t>
      </w:r>
      <w:r>
        <w:rPr>
          <w:i/>
        </w:rPr>
        <w:t xml:space="preserve">The Wisdom of the Hive</w:t>
      </w:r>
      <w:r>
        <w:t xml:space="preserve">.</w:t>
      </w:r>
      <w:r>
        <w:t xml:space="preserve"> </w:t>
      </w:r>
      <w:hyperlink r:id="rId68">
        <w:r>
          <w:rPr>
            <w:rStyle w:val="Hyperlink"/>
          </w:rPr>
          <w:t xml:space="preserve">https://doi.org/10.1016/j.desal.2010.03.003</w:t>
        </w:r>
      </w:hyperlink>
      <w:r>
        <w:t xml:space="preserve">.</w:t>
      </w:r>
    </w:p>
    <w:bookmarkEnd w:id="69"/>
    <w:bookmarkStart w:id="71"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70">
        <w:r>
          <w:rPr>
            <w:rStyle w:val="Hyperlink"/>
          </w:rPr>
          <w:t xml:space="preserve">https://doi.org/10.1007/BF00175458</w:t>
        </w:r>
      </w:hyperlink>
      <w:r>
        <w:t xml:space="preserve">.</w:t>
      </w:r>
    </w:p>
    <w:bookmarkEnd w:id="71"/>
    <w:bookmarkStart w:id="73"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2">
        <w:r>
          <w:rPr>
            <w:rStyle w:val="Hyperlink"/>
          </w:rPr>
          <w:t xml:space="preserve">https://doi.org/10.1007/BF00175101</w:t>
        </w:r>
      </w:hyperlink>
      <w:r>
        <w:t xml:space="preserve">.</w:t>
      </w:r>
    </w:p>
    <w:bookmarkEnd w:id="73"/>
    <w:bookmarkStart w:id="75"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74">
        <w:r>
          <w:rPr>
            <w:rStyle w:val="Hyperlink"/>
          </w:rPr>
          <w:t xml:space="preserve">https://doi.org/10.1007/s003590000134</w:t>
        </w:r>
      </w:hyperlink>
      <w:r>
        <w:t xml:space="preserve">.</w:t>
      </w:r>
    </w:p>
    <w:bookmarkEnd w:id="75"/>
    <w:bookmarkStart w:id="77"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76">
        <w:r>
          <w:rPr>
            <w:rStyle w:val="Hyperlink"/>
          </w:rPr>
          <w:t xml:space="preserve">https://doi.org/10.1006/anbe.1994.1044</w:t>
        </w:r>
      </w:hyperlink>
      <w:r>
        <w:t xml:space="preserve">.</w:t>
      </w:r>
    </w:p>
    <w:bookmarkEnd w:id="77"/>
    <w:bookmarkStart w:id="79"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78">
        <w:r>
          <w:rPr>
            <w:rStyle w:val="Hyperlink"/>
          </w:rPr>
          <w:t xml:space="preserve">https://doi.org/10.1007/BF00168595</w:t>
        </w:r>
      </w:hyperlink>
      <w:r>
        <w:t xml:space="preserve">.</w:t>
      </w:r>
    </w:p>
    <w:bookmarkEnd w:id="79"/>
    <w:bookmarkStart w:id="81" w:name="ref-Seeley1988"/>
    <w:p>
      <w:pPr>
        <w:pStyle w:val="Bibliography"/>
      </w:pPr>
      <w:r>
        <w:t xml:space="preserve">Seeley, Thomas D., and P. Kirk Visscher. 1988. “Assessing the benefits of cooperation in honeybee foraging: search costs, forage quality, and competitive ability.”</w:t>
      </w:r>
      <w:r>
        <w:t xml:space="preserve"> </w:t>
      </w:r>
      <w:r>
        <w:rPr>
          <w:i/>
        </w:rPr>
        <w:t xml:space="preserve">Behavioral Ecology and Sociobiology</w:t>
      </w:r>
      <w:r>
        <w:t xml:space="preserve"> </w:t>
      </w:r>
      <w:r>
        <w:t xml:space="preserve">22 (4): 229–37.</w:t>
      </w:r>
      <w:r>
        <w:t xml:space="preserve"> </w:t>
      </w:r>
      <w:hyperlink r:id="rId80">
        <w:r>
          <w:rPr>
            <w:rStyle w:val="Hyperlink"/>
          </w:rPr>
          <w:t xml:space="preserve">https://doi.org/10.1007/BF00299837</w:t>
        </w:r>
      </w:hyperlink>
      <w:r>
        <w:t xml:space="preserve">.</w:t>
      </w:r>
    </w:p>
    <w:bookmarkEnd w:id="81"/>
    <w:bookmarkStart w:id="83"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82">
        <w:r>
          <w:rPr>
            <w:rStyle w:val="Hyperlink"/>
          </w:rPr>
          <w:t xml:space="preserve">https://doi.org/10.1038/nature01127</w:t>
        </w:r>
      </w:hyperlink>
      <w:r>
        <w:t xml:space="preserve">.</w:t>
      </w:r>
    </w:p>
    <w:bookmarkEnd w:id="83"/>
    <w:bookmarkStart w:id="85"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84">
        <w:r>
          <w:rPr>
            <w:rStyle w:val="Hyperlink"/>
          </w:rPr>
          <w:t xml:space="preserve">https://doi.org/10.1098/rstb.2005.1733</w:t>
        </w:r>
      </w:hyperlink>
      <w:r>
        <w:t xml:space="preserve">.</w:t>
      </w:r>
    </w:p>
    <w:bookmarkEnd w:id="85"/>
    <w:bookmarkStart w:id="87"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86">
        <w:r>
          <w:rPr>
            <w:rStyle w:val="Hyperlink"/>
          </w:rPr>
          <w:t xml:space="preserve">https://doi.org/10.1371/JOURNAL.PONE.0188626</w:t>
        </w:r>
      </w:hyperlink>
      <w:r>
        <w:t xml:space="preserve">.</w:t>
      </w:r>
    </w:p>
    <w:bookmarkEnd w:id="87"/>
    <w:bookmarkStart w:id="89"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88">
        <w:r>
          <w:rPr>
            <w:rStyle w:val="Hyperlink"/>
          </w:rPr>
          <w:t xml:space="preserve">https://doi.org/10.1038/s41467-021-21212-5</w:t>
        </w:r>
      </w:hyperlink>
      <w:r>
        <w:t xml:space="preserve">.</w:t>
      </w:r>
    </w:p>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76" Target="https://doi.org/10.1006/anbe.1994.1044" TargetMode="External" /><Relationship Type="http://schemas.openxmlformats.org/officeDocument/2006/relationships/hyperlink" Id="rId78" Target="https://doi.org/10.1007/BF00168595" TargetMode="External" /><Relationship Type="http://schemas.openxmlformats.org/officeDocument/2006/relationships/hyperlink" Id="rId72" Target="https://doi.org/10.1007/BF00175101" TargetMode="External" /><Relationship Type="http://schemas.openxmlformats.org/officeDocument/2006/relationships/hyperlink" Id="rId70"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0"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2"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4" Target="https://doi.org/10.1007/s003590000134"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66" Target="https://doi.org/10.1016/j.anbehav.2019.01.016" TargetMode="External" /><Relationship Type="http://schemas.openxmlformats.org/officeDocument/2006/relationships/hyperlink" Id="rId56" Target="https://doi.org/10.1016/j.anbehav.2021.12.010" TargetMode="External" /><Relationship Type="http://schemas.openxmlformats.org/officeDocument/2006/relationships/hyperlink" Id="rId68" Target="https://doi.org/10.1016/j.desal.2010.03.003" TargetMode="External" /><Relationship Type="http://schemas.openxmlformats.org/officeDocument/2006/relationships/hyperlink" Id="rId82" Target="https://doi.org/10.1038/nature01127" TargetMode="External" /><Relationship Type="http://schemas.openxmlformats.org/officeDocument/2006/relationships/hyperlink" Id="rId88"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4" Target="https://doi.org/10.1098/rstb.2005.1733" TargetMode="External" /><Relationship Type="http://schemas.openxmlformats.org/officeDocument/2006/relationships/hyperlink" Id="rId64"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58"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86" Target="https://doi.org/10.1371/JOURNAL.PONE.0188626" TargetMode="External" /><Relationship Type="http://schemas.openxmlformats.org/officeDocument/2006/relationships/hyperlink" Id="rId60" Target="https://doi.org/10.3389/FEVO.2015.00125/BIBTEX" TargetMode="External" /><Relationship Type="http://schemas.openxmlformats.org/officeDocument/2006/relationships/hyperlink" Id="rId48"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76" Target="https://doi.org/10.1006/anbe.1994.1044" TargetMode="External" /><Relationship Type="http://schemas.openxmlformats.org/officeDocument/2006/relationships/hyperlink" Id="rId78" Target="https://doi.org/10.1007/BF00168595" TargetMode="External" /><Relationship Type="http://schemas.openxmlformats.org/officeDocument/2006/relationships/hyperlink" Id="rId72" Target="https://doi.org/10.1007/BF00175101" TargetMode="External" /><Relationship Type="http://schemas.openxmlformats.org/officeDocument/2006/relationships/hyperlink" Id="rId70"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0"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2"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4" Target="https://doi.org/10.1007/s003590000134"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66" Target="https://doi.org/10.1016/j.anbehav.2019.01.016" TargetMode="External" /><Relationship Type="http://schemas.openxmlformats.org/officeDocument/2006/relationships/hyperlink" Id="rId56" Target="https://doi.org/10.1016/j.anbehav.2021.12.010" TargetMode="External" /><Relationship Type="http://schemas.openxmlformats.org/officeDocument/2006/relationships/hyperlink" Id="rId68" Target="https://doi.org/10.1016/j.desal.2010.03.003" TargetMode="External" /><Relationship Type="http://schemas.openxmlformats.org/officeDocument/2006/relationships/hyperlink" Id="rId82" Target="https://doi.org/10.1038/nature01127" TargetMode="External" /><Relationship Type="http://schemas.openxmlformats.org/officeDocument/2006/relationships/hyperlink" Id="rId88"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4" Target="https://doi.org/10.1098/rstb.2005.1733" TargetMode="External" /><Relationship Type="http://schemas.openxmlformats.org/officeDocument/2006/relationships/hyperlink" Id="rId64"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58"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86" Target="https://doi.org/10.1371/JOURNAL.PONE.0188626" TargetMode="External" /><Relationship Type="http://schemas.openxmlformats.org/officeDocument/2006/relationships/hyperlink" Id="rId60" Target="https://doi.org/10.3389/FEVO.2015.00125/BIBTEX" TargetMode="External" /><Relationship Type="http://schemas.openxmlformats.org/officeDocument/2006/relationships/hyperlink" Id="rId48"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2022-02-08T14:10:07Z</dcterms:created>
  <dcterms:modified xsi:type="dcterms:W3CDTF">2022-02-08T14:10:07Z</dcterms:modified>
</cp:coreProperties>
</file>

<file path=docProps/custom.xml><?xml version="1.0" encoding="utf-8"?>
<Properties xmlns="http://schemas.openxmlformats.org/officeDocument/2006/custom-properties" xmlns:vt="http://schemas.openxmlformats.org/officeDocument/2006/docPropsVTypes"/>
</file>